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C3B7D0D" w:rsidR="009A03A1" w:rsidRPr="006E0F5B" w:rsidRDefault="009A03A1" w:rsidP="00B74708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1612AD" w:rsidRPr="001612AD">
              <w:rPr>
                <w:rFonts w:ascii="Arial Narrow" w:hAnsi="Arial Narrow" w:cs="Arial"/>
                <w:b/>
                <w:sz w:val="18"/>
                <w:szCs w:val="18"/>
              </w:rPr>
              <w:t>Kosmetologia estetyczna I, II oraz III stopnia wraz z nowoczesną technologią Hi-tech i laseroterapią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43871">
    <w:abstractNumId w:val="0"/>
  </w:num>
  <w:num w:numId="2" w16cid:durableId="1792049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612AD"/>
    <w:rsid w:val="00187805"/>
    <w:rsid w:val="001B41A0"/>
    <w:rsid w:val="001E4909"/>
    <w:rsid w:val="00233F1E"/>
    <w:rsid w:val="002476C6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74708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94BD-5D78-4F26-AA07-6D6F4DE5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2022-08-17T10:51:00Z</dcterms:created>
  <dcterms:modified xsi:type="dcterms:W3CDTF">2022-08-17T10:51:00Z</dcterms:modified>
</cp:coreProperties>
</file>